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BC" w:rsidRDefault="00BB60BC" w:rsidP="00BB60B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B60BC" w:rsidRDefault="00BB60BC" w:rsidP="00BB60B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B60BC" w:rsidRDefault="00BB60BC" w:rsidP="00BB60B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B60BC" w:rsidRDefault="00BB60BC" w:rsidP="00BB60B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BB60BC" w:rsidRDefault="00BB60BC" w:rsidP="00BB60B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BB60BC" w:rsidRDefault="00BB60BC" w:rsidP="00BB60B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№ </w:t>
      </w:r>
    </w:p>
    <w:p w:rsidR="00BB60BC" w:rsidRDefault="00BB60BC" w:rsidP="00BB60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0BC" w:rsidRDefault="00B33BD4" w:rsidP="00BB60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8"/>
      <w:bookmarkEnd w:id="0"/>
      <w:r>
        <w:rPr>
          <w:rFonts w:ascii="Times New Roman" w:hAnsi="Times New Roman" w:cs="Times New Roman"/>
          <w:sz w:val="28"/>
          <w:szCs w:val="28"/>
        </w:rPr>
        <w:t>Методика распределения и правила</w:t>
      </w:r>
    </w:p>
    <w:p w:rsidR="00BB60BC" w:rsidRDefault="00B33BD4" w:rsidP="00BB60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гранта на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молодежного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«Молодежный бюджет»</w:t>
      </w:r>
    </w:p>
    <w:p w:rsidR="00BB60BC" w:rsidRDefault="00BB60BC" w:rsidP="00BB60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3B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етодика распределения и правила предоставления гранта на реализацию пилотного проекта молодежного инициативного бюджетирования «Молодежный бюджет» (далее – методика и правила) определяют методику распределения и правила предоставления гранта на реализацию пилотного проекта инициативного бюджетирования «Молодежный бюджет» (далее – грант).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Грант предоставляется в форме иного межбюджетного трансферта министерством молодежной политики Кировской области                         (далее – министерство) муниципальн</w:t>
      </w:r>
      <w:r w:rsidR="00EE2E5B">
        <w:rPr>
          <w:rFonts w:ascii="Times New Roman" w:hAnsi="Times New Roman" w:cs="Times New Roman"/>
          <w:sz w:val="28"/>
          <w:szCs w:val="28"/>
        </w:rPr>
        <w:t>ы</w:t>
      </w:r>
      <w:r w:rsidR="00B33B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33B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области, участвующи</w:t>
      </w:r>
      <w:r w:rsidR="00B33B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реализации пилотного проекта молодежного инициативного бюджетирования «Молодежный бюджет» (далее – </w:t>
      </w:r>
      <w:proofErr w:type="spellStart"/>
      <w:r w:rsidR="00B33BD4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="00B33BD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7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E2E5B">
        <w:rPr>
          <w:rFonts w:ascii="Times New Roman" w:hAnsi="Times New Roman" w:cs="Times New Roman"/>
          <w:sz w:val="28"/>
          <w:szCs w:val="28"/>
        </w:rPr>
        <w:t>Грант п</w:t>
      </w:r>
      <w:r w:rsidR="00B33BD4">
        <w:rPr>
          <w:rFonts w:ascii="Times New Roman" w:hAnsi="Times New Roman" w:cs="Times New Roman"/>
          <w:sz w:val="28"/>
          <w:szCs w:val="28"/>
        </w:rPr>
        <w:t xml:space="preserve">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размере 300 тыс. рублей </w:t>
      </w:r>
      <w:r w:rsidR="00EE2E5B">
        <w:rPr>
          <w:rFonts w:ascii="Times New Roman" w:hAnsi="Times New Roman" w:cs="Times New Roman"/>
          <w:sz w:val="28"/>
          <w:szCs w:val="28"/>
        </w:rPr>
        <w:t>каждому муниципальному образованию</w:t>
      </w:r>
      <w:r w:rsidR="00D003DA">
        <w:rPr>
          <w:rFonts w:ascii="Times New Roman" w:hAnsi="Times New Roman" w:cs="Times New Roman"/>
          <w:sz w:val="28"/>
          <w:szCs w:val="28"/>
        </w:rPr>
        <w:t xml:space="preserve"> Кировской области, участвующему в реализации </w:t>
      </w:r>
      <w:proofErr w:type="spellStart"/>
      <w:r w:rsidR="00D003DA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D003D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D4F02">
        <w:rPr>
          <w:rFonts w:ascii="Times New Roman" w:hAnsi="Times New Roman" w:cs="Times New Roman"/>
          <w:sz w:val="28"/>
          <w:szCs w:val="28"/>
        </w:rPr>
        <w:t>,</w:t>
      </w:r>
      <w:r w:rsidR="00D003DA">
        <w:rPr>
          <w:rFonts w:ascii="Times New Roman" w:hAnsi="Times New Roman" w:cs="Times New Roman"/>
          <w:sz w:val="28"/>
          <w:szCs w:val="28"/>
        </w:rPr>
        <w:t xml:space="preserve"> </w:t>
      </w:r>
      <w:r w:rsidR="0089523E">
        <w:rPr>
          <w:rFonts w:ascii="Times New Roman" w:hAnsi="Times New Roman" w:cs="Times New Roman"/>
          <w:sz w:val="28"/>
          <w:szCs w:val="28"/>
        </w:rPr>
        <w:t xml:space="preserve">отобранному бюджетной комиссией по реализации </w:t>
      </w:r>
      <w:proofErr w:type="spellStart"/>
      <w:r w:rsidR="0089523E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89523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003DA">
        <w:rPr>
          <w:rFonts w:ascii="Times New Roman" w:hAnsi="Times New Roman" w:cs="Times New Roman"/>
          <w:sz w:val="28"/>
          <w:szCs w:val="28"/>
        </w:rPr>
        <w:t>(далее – муниципальное образование)</w:t>
      </w:r>
      <w:r w:rsidR="002D4F02">
        <w:rPr>
          <w:rFonts w:ascii="Times New Roman" w:hAnsi="Times New Roman" w:cs="Times New Roman"/>
          <w:sz w:val="28"/>
          <w:szCs w:val="28"/>
        </w:rPr>
        <w:t>,</w:t>
      </w:r>
      <w:r w:rsidR="00EE2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 использованию на финансовое обеспечение реализации проектных предложений по распределению части бюджетных средств на решение вопросов местного</w:t>
      </w:r>
      <w:r w:rsidR="0089523E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использования гранта является реализация муниципальным образованием проектного предложения.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результатов использования гранта по муниципальным образованиям устанавливаются правовыми актами министерства,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согласованными с министерством финансов Кировской области до заключения соглашений о предоставлении грантов (дополнительных соглашений к соглашениям о предоставлении грантов).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гранта осуществляется при соблюдении муниципальным образованием следующих условий: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 включении в местный бюджет на текущий финансовый год отдельной строкой средств на реализацию </w:t>
      </w:r>
      <w:proofErr w:type="spellStart"/>
      <w:r w:rsidR="00B33BD4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B33BD4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в размере не </w:t>
      </w:r>
      <w:r w:rsidRPr="00A0216F">
        <w:rPr>
          <w:rFonts w:ascii="Times New Roman" w:hAnsi="Times New Roman" w:cs="Times New Roman"/>
          <w:sz w:val="28"/>
          <w:szCs w:val="28"/>
          <w:highlight w:val="yellow"/>
        </w:rPr>
        <w:t xml:space="preserve">менее </w:t>
      </w:r>
      <w:r w:rsidR="00EE47CF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A0216F">
        <w:rPr>
          <w:rFonts w:ascii="Times New Roman" w:hAnsi="Times New Roman" w:cs="Times New Roman"/>
          <w:sz w:val="28"/>
          <w:szCs w:val="28"/>
          <w:highlight w:val="yellow"/>
        </w:rPr>
        <w:t>00 тыс. рублей.</w:t>
      </w:r>
    </w:p>
    <w:p w:rsidR="002C7D08" w:rsidRDefault="00BB60BC" w:rsidP="002C7D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 предусмотренной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централизации закупок, финансовое обеспечение которых </w:t>
      </w:r>
      <w:r w:rsidR="00861351">
        <w:rPr>
          <w:rFonts w:ascii="Times New Roman" w:hAnsi="Times New Roman" w:cs="Times New Roman"/>
          <w:sz w:val="28"/>
          <w:szCs w:val="28"/>
        </w:rPr>
        <w:t xml:space="preserve">частично или полностью </w:t>
      </w:r>
      <w:r>
        <w:rPr>
          <w:rFonts w:ascii="Times New Roman" w:hAnsi="Times New Roman" w:cs="Times New Roman"/>
          <w:sz w:val="28"/>
          <w:szCs w:val="28"/>
        </w:rPr>
        <w:t>осуществляется за счет гранта</w:t>
      </w:r>
      <w:r w:rsidR="002C7D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7D08">
        <w:rPr>
          <w:rFonts w:ascii="Times New Roman" w:hAnsi="Times New Roman" w:cs="Times New Roman"/>
          <w:sz w:val="28"/>
          <w:szCs w:val="28"/>
        </w:rPr>
        <w:t xml:space="preserve">Централизация закупок не осуществляется в случае заключения муниципальных контрактов (контрактов, договоров), заключенных на основании </w:t>
      </w:r>
      <w:hyperlink r:id="rId7" w:history="1">
        <w:r w:rsidR="002C7D08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="002C7D08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44-ФЗ, либо по результатам закрытых способов определения поставщиков (подрядчиков, исполнителей), либо в соответствии с положениями Федерального закона от 18.07.2011 № 223-ФЗ «О закупках товаров, работ, услуг отдельными видами юридических лиц»».  </w:t>
      </w:r>
      <w:proofErr w:type="gramEnd"/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 наличии муниципальной программы, содержащей мероприятия,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грант, и (или) муниципального правового акта, устанавливающего расходные обязательства муниципального образования,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грант.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B33BD4">
        <w:rPr>
          <w:rFonts w:ascii="Times New Roman" w:hAnsi="Times New Roman" w:cs="Times New Roman"/>
          <w:sz w:val="28"/>
          <w:szCs w:val="28"/>
        </w:rPr>
        <w:t>При з</w:t>
      </w:r>
      <w:r>
        <w:rPr>
          <w:rFonts w:ascii="Times New Roman" w:hAnsi="Times New Roman" w:cs="Times New Roman"/>
          <w:sz w:val="28"/>
          <w:szCs w:val="28"/>
        </w:rPr>
        <w:t>аключени</w:t>
      </w:r>
      <w:r w:rsidR="00B33B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грант</w:t>
      </w:r>
      <w:r w:rsidR="00B33B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  <w:t xml:space="preserve"> между министерством и администрацией муниципального образования в электронном виде в автоматизированной системе управления бюджетным процессом Кировской области. Соглашения о предоставлении грантов, предусмотренных законом области об областном бюджете, заключаются до 15 февраля года предоставления грант</w:t>
      </w:r>
      <w:r w:rsidR="00B33B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соглашений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грантов, бюджетные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ассигнования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предоставление которых предусмотрены в соответствии с законом области о внесении изменений в закон области об областном бюджете, которые заключаются не позднее 30 дней после дня вступления в силу указанного закона.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предоставления гранта</w:t>
      </w:r>
      <w:bookmarkStart w:id="2" w:name="P518"/>
      <w:bookmarkEnd w:id="2"/>
      <w:r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 представляет в министерство: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Заверенную в установленном порядке выписку из решения о бюджете, подтверждающую включение в местный бюджет на текущий финансовый год отдельной</w:t>
      </w:r>
      <w:r w:rsidR="00B33BD4">
        <w:rPr>
          <w:rFonts w:ascii="Times New Roman" w:hAnsi="Times New Roman" w:cs="Times New Roman"/>
          <w:sz w:val="28"/>
          <w:szCs w:val="28"/>
        </w:rPr>
        <w:t xml:space="preserve"> строкой средств на реализацию </w:t>
      </w:r>
      <w:proofErr w:type="spellStart"/>
      <w:r w:rsidR="00B33BD4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B33BD4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межбюджетных трансфертов из других бюджетов бюджетной системы Российской Федерации, имеющих целевое назначение) в размере не </w:t>
      </w:r>
      <w:r w:rsidRPr="00A0216F">
        <w:rPr>
          <w:rFonts w:ascii="Times New Roman" w:hAnsi="Times New Roman" w:cs="Times New Roman"/>
          <w:sz w:val="28"/>
          <w:szCs w:val="28"/>
          <w:highlight w:val="yellow"/>
        </w:rPr>
        <w:t>менее 400 тыс. рублей</w:t>
      </w:r>
      <w:r w:rsidR="00B33BD4" w:rsidRPr="00A0216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Выписку из муниципальной программы, содержащей мероприятия,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грант, и (или) копию муниципального правового акта, устанавливающего расходные обязательства муниципального образования,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грант.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Иные документы и материалы, установленные соглашением</w:t>
      </w:r>
      <w:r w:rsidR="00B33BD4">
        <w:rPr>
          <w:rFonts w:ascii="Times New Roman" w:hAnsi="Times New Roman" w:cs="Times New Roman"/>
          <w:sz w:val="28"/>
          <w:szCs w:val="28"/>
        </w:rPr>
        <w:t xml:space="preserve"> о  предоставлении гранта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Перечисление грантов осуществляется в установленном </w:t>
      </w:r>
      <w:r w:rsidR="0089523E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 xml:space="preserve">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 (или)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доведенных до получателей средств местного бюджета лимитов бюджетных обязательств в течение </w:t>
      </w:r>
      <w:r w:rsidRPr="00A0216F">
        <w:rPr>
          <w:rFonts w:ascii="Times New Roman" w:hAnsi="Times New Roman" w:cs="Times New Roman"/>
          <w:sz w:val="28"/>
          <w:szCs w:val="28"/>
          <w:highlight w:val="yellow"/>
        </w:rPr>
        <w:t>3 рабочих дней после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органами местного самоуправления муниципальных образований документов, подтверждающих потребность в предоставлении субсидий.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перечисляются пропорционально кассовым расходам местных бюджетов по соответствующим расходным обязательствам на основании документов, подтверждающих возникновение денежных обязательств.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Субсидии могут перечисляться на возмещение расходов местных бюджетов, соответствующих целевому назначению субсидий, по согласованию с министерством.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не перечисляются в случае установления фактов нарушения органами местного самоуправления муниципальных образований норм</w:t>
      </w:r>
      <w:r w:rsidR="008818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настоящ</w:t>
      </w:r>
      <w:r w:rsidR="00715D52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>методикой и пра</w:t>
      </w:r>
      <w:r w:rsidR="00B33BD4">
        <w:rPr>
          <w:rFonts w:ascii="Times New Roman" w:hAnsi="Times New Roman" w:cs="Times New Roman"/>
          <w:sz w:val="28"/>
          <w:szCs w:val="28"/>
        </w:rPr>
        <w:t>вилами</w:t>
      </w:r>
      <w:r w:rsidR="00715D52">
        <w:rPr>
          <w:rFonts w:ascii="Times New Roman" w:hAnsi="Times New Roman" w:cs="Times New Roman"/>
          <w:sz w:val="28"/>
          <w:szCs w:val="28"/>
        </w:rPr>
        <w:t xml:space="preserve"> и соглашениями о предоставлении грант</w:t>
      </w:r>
      <w:r w:rsidR="0088189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0BC" w:rsidRDefault="00F74DF5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60BC">
        <w:rPr>
          <w:rFonts w:ascii="Times New Roman" w:hAnsi="Times New Roman" w:cs="Times New Roman"/>
          <w:sz w:val="28"/>
          <w:szCs w:val="28"/>
        </w:rPr>
        <w:t xml:space="preserve">. Для перечисления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="00BB60BC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представляют в министерство следующие документы:</w:t>
      </w:r>
    </w:p>
    <w:p w:rsidR="00BB60BC" w:rsidRDefault="00F74DF5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60BC">
        <w:rPr>
          <w:rFonts w:ascii="Times New Roman" w:hAnsi="Times New Roman" w:cs="Times New Roman"/>
          <w:sz w:val="28"/>
          <w:szCs w:val="28"/>
        </w:rPr>
        <w:t>.1. Копии заключенных муниципальных контрактов (контрактов, договоров).</w:t>
      </w:r>
    </w:p>
    <w:p w:rsidR="00BB60BC" w:rsidRDefault="00F74DF5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60BC">
        <w:rPr>
          <w:rFonts w:ascii="Times New Roman" w:hAnsi="Times New Roman" w:cs="Times New Roman"/>
          <w:sz w:val="28"/>
          <w:szCs w:val="28"/>
        </w:rPr>
        <w:t xml:space="preserve">.2. Копии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возникновение денежных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 предоставлении грантов</w:t>
      </w:r>
      <w:r w:rsidR="00BB60BC">
        <w:rPr>
          <w:rFonts w:ascii="Times New Roman" w:hAnsi="Times New Roman" w:cs="Times New Roman"/>
          <w:sz w:val="28"/>
          <w:szCs w:val="28"/>
        </w:rPr>
        <w:t>.</w:t>
      </w:r>
    </w:p>
    <w:p w:rsidR="00BB60BC" w:rsidRDefault="00F74DF5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60BC">
        <w:rPr>
          <w:rFonts w:ascii="Times New Roman" w:hAnsi="Times New Roman" w:cs="Times New Roman"/>
          <w:sz w:val="28"/>
          <w:szCs w:val="28"/>
        </w:rPr>
        <w:t xml:space="preserve">.3. 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8" w:history="1">
        <w:r w:rsidR="00BB60BC" w:rsidRPr="003B0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 статьи 26</w:t>
        </w:r>
      </w:hyperlink>
      <w:r w:rsidR="00BB60B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BB60BC">
        <w:rPr>
          <w:rFonts w:ascii="Times New Roman" w:hAnsi="Times New Roman" w:cs="Times New Roman"/>
          <w:sz w:val="28"/>
          <w:szCs w:val="28"/>
        </w:rPr>
        <w:br/>
        <w:t>№ 44-ФЗ.</w:t>
      </w:r>
    </w:p>
    <w:p w:rsidR="00BB60BC" w:rsidRDefault="00F74DF5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4CF9">
        <w:rPr>
          <w:rFonts w:ascii="Times New Roman" w:hAnsi="Times New Roman" w:cs="Times New Roman"/>
          <w:sz w:val="28"/>
          <w:szCs w:val="28"/>
        </w:rPr>
        <w:t>.4. Сведения о потребности в грантах</w:t>
      </w:r>
      <w:r w:rsidR="00BB60BC">
        <w:rPr>
          <w:rFonts w:ascii="Times New Roman" w:hAnsi="Times New Roman" w:cs="Times New Roman"/>
          <w:sz w:val="28"/>
          <w:szCs w:val="28"/>
        </w:rPr>
        <w:t>.</w:t>
      </w:r>
    </w:p>
    <w:p w:rsidR="00BB60BC" w:rsidRDefault="00F74DF5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60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60B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вправе по согласованию с министерством направлять средства экономии, образовавшейся по результатам заключения муниципальных контрактов, источником финансового обеспечения которых являются гранты              (далее – средства экономии), на цели предоставления грантов в соответствии с </w:t>
      </w:r>
      <w:hyperlink r:id="rId9" w:history="1">
        <w:r w:rsidR="00BB60BC" w:rsidRPr="003B0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="00BB60BC">
        <w:rPr>
          <w:rFonts w:ascii="Times New Roman" w:hAnsi="Times New Roman" w:cs="Times New Roman"/>
          <w:sz w:val="28"/>
          <w:szCs w:val="28"/>
        </w:rPr>
        <w:t xml:space="preserve"> направления экономии, образовавшейся по результатам заключения муниципальных контрактов (контрактов, договоров) на закупку товаров, работ, услуг, источником обеспечения которой являются межбюджетные трансферты местным бюджетам из</w:t>
      </w:r>
      <w:proofErr w:type="gramEnd"/>
      <w:r w:rsidR="00BB60BC">
        <w:rPr>
          <w:rFonts w:ascii="Times New Roman" w:hAnsi="Times New Roman" w:cs="Times New Roman"/>
          <w:sz w:val="28"/>
          <w:szCs w:val="28"/>
        </w:rPr>
        <w:t xml:space="preserve"> областного бюджета, на цели предоставления межбюджетных трансфертов местным бюджетам из областного бюджета, утвержденным постановлением Правительства </w:t>
      </w:r>
      <w:r w:rsidR="00BB60BC">
        <w:rPr>
          <w:rFonts w:ascii="Times New Roman" w:hAnsi="Times New Roman" w:cs="Times New Roman"/>
          <w:sz w:val="28"/>
          <w:szCs w:val="28"/>
        </w:rPr>
        <w:lastRenderedPageBreak/>
        <w:t>Кировской области от 26.12.2019 № 724-П «О формировании, предоставлении и распределении субсидий местным бюджетам из областного бюджета».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 муниципальн</w:t>
      </w:r>
      <w:r w:rsidR="00B33BD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33BD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в средствах экономии министерство вправе в установленном порядке вносить предложения о перераспределении соответствующих грантов между муниципальными образованиями.</w:t>
      </w:r>
    </w:p>
    <w:p w:rsidR="00BB60BC" w:rsidRDefault="00F74DF5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60B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 муниципального образования представляет в министерство отчет о целевом использовании гранта, отчет </w:t>
      </w:r>
      <w:r w:rsidR="00BB60BC">
        <w:rPr>
          <w:rFonts w:ascii="Times New Roman" w:hAnsi="Times New Roman" w:cs="Times New Roman"/>
          <w:sz w:val="28"/>
          <w:szCs w:val="28"/>
        </w:rPr>
        <w:br/>
        <w:t xml:space="preserve">о реализации </w:t>
      </w:r>
      <w:proofErr w:type="spellStart"/>
      <w:r w:rsidR="00B33BD4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B33BD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B60BC">
        <w:rPr>
          <w:rFonts w:ascii="Times New Roman" w:hAnsi="Times New Roman" w:cs="Times New Roman"/>
          <w:sz w:val="28"/>
          <w:szCs w:val="28"/>
        </w:rPr>
        <w:t xml:space="preserve"> и отчет о результатах использования гранта по формам и в сроки, которые установлены соглашением</w:t>
      </w:r>
      <w:r w:rsidR="00B33BD4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="00BB60BC">
        <w:rPr>
          <w:rFonts w:ascii="Times New Roman" w:hAnsi="Times New Roman" w:cs="Times New Roman"/>
          <w:sz w:val="28"/>
          <w:szCs w:val="28"/>
        </w:rPr>
        <w:t>.</w:t>
      </w:r>
    </w:p>
    <w:p w:rsidR="00BB60BC" w:rsidRDefault="00BB60BC" w:rsidP="00EE4C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D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положений настоящих методики и правил и недостоверность представляемых в министерство документов и информации, указанных в </w:t>
      </w:r>
      <w:hyperlink w:anchor="P518" w:history="1">
        <w:r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4CF9">
        <w:rPr>
          <w:rFonts w:ascii="Times New Roman" w:hAnsi="Times New Roman" w:cs="Times New Roman"/>
          <w:sz w:val="28"/>
          <w:szCs w:val="28"/>
        </w:rPr>
        <w:t>7, 9</w:t>
      </w:r>
      <w:r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возлагается на орган местного самоуправления муниципального образования.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D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Министерство обеспечивает соблюдение муниципальным образованием настоящих методики и правил.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D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грантов условий, целей и порядка, установленных при их предоставлении.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D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к муниципальному образованию при невыполнении обязательств, установленных соглашением </w:t>
      </w:r>
      <w:r w:rsidR="00715D52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>
        <w:rPr>
          <w:rFonts w:ascii="Times New Roman" w:hAnsi="Times New Roman" w:cs="Times New Roman"/>
          <w:sz w:val="28"/>
          <w:szCs w:val="28"/>
        </w:rPr>
        <w:t>(далее – меры ответственности), являются: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значения результата использования гранта, предусмотренного соглашением</w:t>
      </w:r>
      <w:r w:rsidR="00715D52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неиспользование гранта муниципальным образованием.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D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по состоянию на 31 декабря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предоставления гранта значения результата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гранта, предусмотренного соглашением</w:t>
      </w:r>
      <w:r w:rsidR="00715D52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муниципальному образованию осуществляется в следующем порядке: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D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результата использования гранта на основании отчетов, документов и информации, предусмотренных настоящими методикой и правилами, представляемых муниципальным образованием, министерство в срок до 1 апреля текущего финансового года направляет администрации муниципального образования требование о возврате средств местного бюджета в доход областного бюджета в срок до 20 апреля текущего финансового года.</w:t>
      </w:r>
      <w:proofErr w:type="gramEnd"/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D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результата использования гранта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указанные в данном требовании сроки.</w:t>
      </w:r>
      <w:proofErr w:type="gramEnd"/>
    </w:p>
    <w:p w:rsidR="0088189A" w:rsidRDefault="00BB60BC" w:rsidP="008952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D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.1.3. Объем </w:t>
      </w:r>
      <w:r w:rsidR="00881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881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</w:t>
      </w:r>
      <w:r w:rsidR="00715D5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возврату </w:t>
      </w:r>
      <w:r w:rsidR="00881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881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91788">
        <w:rPr>
          <w:rFonts w:ascii="Times New Roman" w:hAnsi="Times New Roman" w:cs="Times New Roman"/>
          <w:sz w:val="28"/>
          <w:szCs w:val="28"/>
        </w:rPr>
        <w:t xml:space="preserve">   </w:t>
      </w:r>
      <w:r w:rsidR="00881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15D5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15D52" w:rsidRPr="00715D52">
        <w:rPr>
          <w:rFonts w:ascii="Times New Roman" w:hAnsi="Times New Roman" w:cs="Times New Roman"/>
          <w:sz w:val="28"/>
          <w:szCs w:val="28"/>
        </w:rPr>
        <w:t>-</w:t>
      </w:r>
      <w:r w:rsidR="00715D52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доход областного бюджета 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46075" cy="251460"/>
            <wp:effectExtent l="0" t="0" r="0" b="0"/>
            <wp:docPr id="4" name="Консультант Плю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сультант Плюс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определяется по каждому мероприятию,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достигнут результат использования гранта и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которого предоставляется грант, и рассчитывается по формуле:</w:t>
      </w:r>
    </w:p>
    <w:p w:rsidR="00BC4CBA" w:rsidRDefault="00BC4CBA" w:rsidP="00BC4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0BC" w:rsidRDefault="00BB60BC" w:rsidP="0088189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163320" cy="251460"/>
            <wp:effectExtent l="0" t="0" r="0" b="0"/>
            <wp:docPr id="5" name="Консультант Плю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сультант Плюс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BA" w:rsidRDefault="00BC4CBA" w:rsidP="00F91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60BC" w:rsidRDefault="00BB60BC" w:rsidP="00881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41300" cy="251460"/>
            <wp:effectExtent l="0" t="0" r="0" b="0"/>
            <wp:docPr id="6" name="Консультант Плю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нсультант Плюс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D5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объем гранта, направляемого на реализацию соответствующего мероприятия, перечисленного местному бюджету в году предоставления гранта, без учета размера остатка гранта, не использованного по состоянию на 1 января года, следующего за годом предоставления гранта, потребность в котором не подтверждена министерством;</w:t>
      </w:r>
    </w:p>
    <w:p w:rsidR="00BB60BC" w:rsidRDefault="00BB60BC" w:rsidP="00881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D5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D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.1.4. Если получателем гранта в порядке и на основании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муниципальными контрактами (контрактами, договорами),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грант, работы (услуги), не соответствующие условиям таких муниципальных контрактов (контрактов, договоров), не приняты, то установленные настоящими методикой и правилами меры ответственности не применяются.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D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.1.5. Если муниципальным образованием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образованием требования о возврате средств местного бюджета в доход областного бюджета.</w:t>
      </w:r>
    </w:p>
    <w:p w:rsidR="00BB60BC" w:rsidRDefault="00BB60BC" w:rsidP="00BB6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D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В случае если муниципальным образованием по состоянию на </w:t>
      </w:r>
      <w:r w:rsidR="00715D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31 декабря года предоставления гранта грант не использован в размере, установленном законом области об областном бюджете,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гранта.</w:t>
      </w:r>
    </w:p>
    <w:p w:rsidR="00BB60BC" w:rsidRDefault="00BB60BC" w:rsidP="00BB6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B60BC" w:rsidRDefault="00D12C1F" w:rsidP="00BB60B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BB60BC">
          <w:headerReference w:type="default" r:id="rId13"/>
          <w:pgSz w:w="11906" w:h="16838"/>
          <w:pgMar w:top="1135" w:right="850" w:bottom="851" w:left="1701" w:header="708" w:footer="708" w:gutter="0"/>
          <w:cols w:space="708"/>
          <w:titlePg/>
        </w:sect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40659">
        <w:rPr>
          <w:rFonts w:ascii="Times New Roman" w:hAnsi="Times New Roman" w:cs="Times New Roman"/>
          <w:sz w:val="28"/>
          <w:szCs w:val="28"/>
        </w:rPr>
        <w:t>_____</w:t>
      </w:r>
    </w:p>
    <w:p w:rsidR="004F4C7E" w:rsidRDefault="004F4C7E" w:rsidP="00D12C1F"/>
    <w:sectPr w:rsidR="004F4C7E" w:rsidSect="0048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6F" w:rsidRDefault="00A0216F">
      <w:pPr>
        <w:spacing w:after="0" w:line="240" w:lineRule="auto"/>
      </w:pPr>
      <w:r>
        <w:separator/>
      </w:r>
    </w:p>
  </w:endnote>
  <w:endnote w:type="continuationSeparator" w:id="0">
    <w:p w:rsidR="00A0216F" w:rsidRDefault="00A0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6F" w:rsidRDefault="00A0216F">
      <w:pPr>
        <w:spacing w:after="0" w:line="240" w:lineRule="auto"/>
      </w:pPr>
      <w:r>
        <w:separator/>
      </w:r>
    </w:p>
  </w:footnote>
  <w:footnote w:type="continuationSeparator" w:id="0">
    <w:p w:rsidR="00A0216F" w:rsidRDefault="00A0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6F" w:rsidRDefault="00A0216F">
    <w:pPr>
      <w:pStyle w:val="a3"/>
      <w:jc w:val="center"/>
    </w:pPr>
    <w:fldSimple w:instr="PAGE   \* MERGEFORMAT">
      <w:r w:rsidR="00EE47CF">
        <w:rPr>
          <w:noProof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5FF"/>
    <w:rsid w:val="000070F2"/>
    <w:rsid w:val="00200CF6"/>
    <w:rsid w:val="002555FF"/>
    <w:rsid w:val="002C7D08"/>
    <w:rsid w:val="002D4F02"/>
    <w:rsid w:val="002F3D02"/>
    <w:rsid w:val="003B008D"/>
    <w:rsid w:val="004837B7"/>
    <w:rsid w:val="004F4C7E"/>
    <w:rsid w:val="005143D7"/>
    <w:rsid w:val="00540659"/>
    <w:rsid w:val="0065639A"/>
    <w:rsid w:val="006B2030"/>
    <w:rsid w:val="006C1524"/>
    <w:rsid w:val="006F56B7"/>
    <w:rsid w:val="00715D52"/>
    <w:rsid w:val="0085346B"/>
    <w:rsid w:val="00861351"/>
    <w:rsid w:val="0088189A"/>
    <w:rsid w:val="0089523E"/>
    <w:rsid w:val="00933A66"/>
    <w:rsid w:val="009E3F7E"/>
    <w:rsid w:val="00A0216F"/>
    <w:rsid w:val="00A86B4F"/>
    <w:rsid w:val="00B33BD4"/>
    <w:rsid w:val="00BB60BC"/>
    <w:rsid w:val="00BC4CBA"/>
    <w:rsid w:val="00CA1595"/>
    <w:rsid w:val="00D003DA"/>
    <w:rsid w:val="00D12C1F"/>
    <w:rsid w:val="00D45B1C"/>
    <w:rsid w:val="00EE2E5B"/>
    <w:rsid w:val="00EE47CF"/>
    <w:rsid w:val="00EE4CF9"/>
    <w:rsid w:val="00F74DF5"/>
    <w:rsid w:val="00F9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B6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60BC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B60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60BC"/>
    <w:rPr>
      <w:rFonts w:eastAsiaTheme="minorEastAsia"/>
      <w:lang w:eastAsia="ru-RU"/>
    </w:rPr>
  </w:style>
  <w:style w:type="character" w:styleId="a5">
    <w:name w:val="Hyperlink"/>
    <w:basedOn w:val="a0"/>
    <w:link w:val="1"/>
    <w:uiPriority w:val="99"/>
    <w:unhideWhenUsed/>
    <w:rsid w:val="00BB60BC"/>
    <w:rPr>
      <w:color w:val="0000FF"/>
      <w:u w:val="single"/>
    </w:rPr>
  </w:style>
  <w:style w:type="paragraph" w:customStyle="1" w:styleId="1">
    <w:name w:val="Гиперссылка1"/>
    <w:link w:val="a5"/>
    <w:uiPriority w:val="99"/>
    <w:rsid w:val="00BB60BC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</w:pPr>
    <w:rPr>
      <w:color w:val="0000FF"/>
      <w:u w:val="single"/>
    </w:rPr>
  </w:style>
  <w:style w:type="paragraph" w:customStyle="1" w:styleId="ConsPlusTitle">
    <w:name w:val="ConsPlusTitle"/>
    <w:uiPriority w:val="99"/>
    <w:rsid w:val="00BB60BC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B6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60BC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B60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60BC"/>
    <w:rPr>
      <w:rFonts w:eastAsiaTheme="minorEastAsia"/>
      <w:lang w:eastAsia="ru-RU"/>
    </w:rPr>
  </w:style>
  <w:style w:type="character" w:styleId="a5">
    <w:name w:val="Hyperlink"/>
    <w:basedOn w:val="a0"/>
    <w:link w:val="1"/>
    <w:uiPriority w:val="99"/>
    <w:unhideWhenUsed/>
    <w:rsid w:val="00BB60BC"/>
    <w:rPr>
      <w:color w:val="0000FF"/>
      <w:u w:val="single"/>
    </w:rPr>
  </w:style>
  <w:style w:type="paragraph" w:customStyle="1" w:styleId="1">
    <w:name w:val="Гиперссылка1"/>
    <w:link w:val="a5"/>
    <w:uiPriority w:val="99"/>
    <w:rsid w:val="00BB60BC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</w:pPr>
    <w:rPr>
      <w:color w:val="0000FF"/>
      <w:u w:val="single"/>
    </w:rPr>
  </w:style>
  <w:style w:type="paragraph" w:customStyle="1" w:styleId="ConsPlusTitle">
    <w:name w:val="ConsPlusTitle"/>
    <w:uiPriority w:val="99"/>
    <w:rsid w:val="00BB60BC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0&amp;dst=285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361&amp;dst=101257" TargetMode="External"/><Relationship Id="rId12" Type="http://schemas.openxmlformats.org/officeDocument/2006/relationships/image" Target="media/image3.wm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285" TargetMode="External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39316&amp;dst=1003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m.budnikova</dc:creator>
  <cp:keywords/>
  <dc:description/>
  <cp:lastModifiedBy>ws170918</cp:lastModifiedBy>
  <cp:revision>21</cp:revision>
  <cp:lastPrinted>2025-09-10T10:48:00Z</cp:lastPrinted>
  <dcterms:created xsi:type="dcterms:W3CDTF">2025-08-08T11:57:00Z</dcterms:created>
  <dcterms:modified xsi:type="dcterms:W3CDTF">2025-09-12T12:55:00Z</dcterms:modified>
</cp:coreProperties>
</file>